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Williamsburg</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Williamsburg</w:t>
      </w:r>
      <w:r>
        <w:rPr>
          <w:rFonts w:ascii="Goudy Old Style" w:hAnsi="Goudy Old Style"/>
          <w:b w:val="false"/>
          <w:bCs w:val="false"/>
          <w:color w:val="000000"/>
        </w:rPr>
        <w:t>. Housing MA. Web. 04 Jul 2026. &lt;www.housing.ma/williamsburg/report}&gt;.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Williamsburg,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Williamsburg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Williamsburg is home to 2500 residents, an increase of 4.2 percent from 2000. In 2010, working-age adults between 20 and 65 made up 64 percent of the population and seniors over 65 made up 15 percent School-age children, between 5 and 19, make up 16 percent of current residents. Between 2005 and 2012, school enrollment decreased by 140,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Williamsburg, the aging of the Baby Boomers will cause the senior population to increase by 410 people, or 110 percent, through 2030, as seen in Figure 1. The total population is projected to decrease by 300,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86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Williamsburg,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Williamsburg increased by 10 percent between 2000 and 2010, from 1000 to 1100;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2.36 in 2000 to 2.21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24% of Williamsburg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11% of Williamsburg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Williamsburg are projected to decrease by 1,100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Williamsburg;</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Williamsburg, total households increased by 100, or 10 percent, between 2000 and 2010. At the same time, average household size decreased from 2.36 to 2.21.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Williamsburg.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Williamsburg,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Williamsburg, as well as its distribution by unit type, building age, size, and cost. We also look at housing permits in Williamsburg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Williamsburg, 42% of housing units are in buildings built before 1939, compared to 42% statewide. Another 18% and 12% of Williamsburg units are in buildings that date from 1940-1959 and 1960-1979, respectively. Construction since 2000 accounts for 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Williamsburg, 73% of units are in single family homes, compared to 76% statewide and 88% for Rural Town-type municipalities; 21% of all units are in two- to four-family buildings; and 5.3%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Williamsburg permitted 1 single family and 0 multi-family housing units annually. By comparison, Williamsburg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Williamsburg, 13%, 11%, and 12% of households are extremely low, very low, and low income, respectively. This means that 36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Williamsburg, 38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Williamsburg, 60%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Williamsburg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Williamsburg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66% of non-elderly, non-family households are cost burdened, respectively. As the number of elderly households increases, the number of cost-burdened elderly households is likely to increase. In Williamsburg, cost burden among elderly family households and non-elderly, non-family households is 24% and 66%,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Williamsburg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Williamsburg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Williamsburg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Williamsburg households at less than  50% AMI, 50 to 80% AMI, and above 80% AMI, face affordability gaps of 49, -39, and 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