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South Hadley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30 Apr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South Hadley</w:t>
      </w:r>
      <w:r>
        <w:rPr>
          <w:rFonts w:ascii="Goudy Old Style" w:hAnsi="Goudy Old Style"/>
          <w:b w:val="false"/>
          <w:bCs w:val="false"/>
          <w:color w:val="000000"/>
        </w:rPr>
        <w:t>. Housing MA. Web. 30 Apr 2026. &lt;www.housing.ma/south-hadley/report}&gt;.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South Hadley,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South Hadley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South Hadley is home to 18000 residents, an increase of 5.9 percent from 2000. In 2010, working-age adults between 20 and 65 made up 56 percent of the population and seniors over 65 made up 17 percent School-age children, between 5 and 19, make up 19 percent of current residents. Between 2005 and 2012, school enrollment decreased by 330,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the aging of the Baby Boomers will cause the senior population to increase by 1,100 people, or 37 percent, through 2030, as seen in Figure 1. The total population is projected to decrease by 2,000,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69 percent. Meanwhile, the white, non-Hispanic population decreased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South Hadley,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 Hadley increased by 3 percent between 2000 and 2010, from 6600 to 6800;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South Hadley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14% of South Hadley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 Hadley are projected to decrease by 6,800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South Hadley;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total households increased by 200, or 3 percent, between 2000 and 2010. At the same time, average household size decreased from 2.33 to 2.25.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South Hadley.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South Hadley, as well as its distribution by unit type, building age, size, and cost. We also look at housing permits in South Hadley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23% of housing units are in buildings built before 1939, compared to 23% statewide. Another 32% and 19% of South Hadley units are in buildings that date from 1940-1959 and 1960-1979, respectively. Construction since 2000 accounts for 5.7%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South Hadley, 69% of units are in single family homes, compared to 76% statewide and 79% for Developing Suburb-type municipalities; 15% of all units are in two- to four-family buildings; and 16.3%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South Hadley permitted 13 single family and 8 multi-family housing units annually. By comparison, South Hadley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10%, 9.4%, and 16% of households are extremely low, very low, and low income, respectively. This means that 35.4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South Hadley, 36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South Hadley, 47%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South Hadley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South Hadley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43% of non-elderly, non-family households are cost burdened, respectively. As the number of elderly households increases, the number of cost-burdened elderly households is likely to increase. In South Hadley, cost burden among elderly family households and non-elderly, non-family households is 19%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South Hadley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South Hadley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South Hadley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South Hadley households at less than  50% AMI, 50 to 80% AMI, and above 80% AMI, face affordability gaps of -5, -360,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