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Salem</w:t>
      </w:r>
      <w:r>
        <w:rPr>
          <w:rFonts w:ascii="Goudy Old Style" w:hAnsi="Goudy Old Style"/>
          <w:b w:val="false"/>
          <w:bCs w:val="false"/>
          <w:color w:val="000000"/>
        </w:rPr>
        <w:t>. Housing MA. Web. 31 Oct 2026. &lt;www.housing.ma/new-salem/report}&gt;.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Salem is home to 990 residents, an increase of 6.5 percent from 2000. In 2010, working-age adults between 20 and 65 made up 66 percent of the population and seniors over 65 made up 12 percent School-age children, between 5 and 19, make up 20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the aging of the Baby Boomers will cause the senior population to increase by 210 people, or 180 percent, through 2030, as seen in Figure 1. The total population is projected to increase by 110,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2.1 percent. Meanwhile, the white, non-Hispanic population increased by 6.8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6.7% of New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total households increased by 20, or 5.3 percent, between 2000 and 2010. At the same time, average household size decreased from 2.45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Salem.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Salem, as well as its distribution by unit type, building age, size, and cost. We also look at housing permits in New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30% of housing units are in buildings built before 1939, compared to 30% statewide. Another 7% and 23% of New Salem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Salem, 94% of units are in single family homes, compared to 76% statewide and 88% for Rural Town-type municipalities; 5.1% of all units are in two- to four-family buildings; and 0.66%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Salem permitted 2 single family and 0 multi-family housing units annually. By comparison, New Salem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12%, 11%,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Salem, 24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Salem, 69% of renters are cost burdened, versus 19%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27% of non-elderly, non-family households are cost burdened, respectively. As the number of elderly households increases, the number of cost-burdened elderly households is likely to increase. In New Salem, cost burden among elderly family households and non-elderly, non-family households is 22%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Salem households at less than  50% AMI, 50 to 80% AMI, and above 80% AMI, face affordability gaps of 58, -80, and 21,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