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Milford</w:t>
      </w:r>
      <w:r>
        <w:rPr>
          <w:rFonts w:ascii="Goudy Old Style" w:hAnsi="Goudy Old Style"/>
          <w:b w:val="false"/>
          <w:bCs w:val="false"/>
          <w:color w:val="000000"/>
        </w:rPr>
        <w:t>. Housing MA. Web. 23 Sep 2026. &lt;www.housing.ma/milford/report}&gt;.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Milford is home to 28000 residents, an increase of 3.7 percent from 2000. In 2010, working-age adults between 20 and 65 made up 61 percent of the population and seniors over 65 made up 13 percent School-age children, between 5 and 19, make up 18 percent of current residents. Between 2005 and 2012, school enrollment decreased by 25, or 0.59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the aging of the Baby Boomers will cause the senior population to increase by 2,900 people, or 81 percent, through 2030, as seen in Figure 1. The total population is projected to increase by 4,000,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96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Milford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2.54 in 2000 to 2.56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Milford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9.2% of Milford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Milford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4.5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29 percent to 41 percent of the total households in Milford;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1900, or 190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total households increased by 1,000, or 10 percent, between 2000 and 2010. At the same time, average household size increased from 2.54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Milford. As this large generation ages, it will increase the number of householders over 60 by 66 percent statewide through 2030, and their share of all households will increase from 29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householders over 60 will  decrease from 29 percent of the population in 2010 to 41 percent in 2030, an increase of 66 percent. Meanwhile, householders under 60 will increase by 300, or 3.9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1900 housing units.  Households headed by someone currently between the ages of 35 and 55 will demand 640 more units. Householders currently over the age of 55 will need 1,300 fewer units than they do today. After accounting for the units freed up by departing seniors and the units needed to maintain a healthy vacancy rate, this translates into net demand for 600 single family and 660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Milford, as well as its distribution by unit type, building age, size, and cost. We also look at housing permits in Milford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29% of housing units are in buildings built before 1939, compared to 29% statewide. Another 10% and 29% of Milford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Milford, 62% of units are in single family homes, compared to 76% statewide and 50% for Regional Urban Center-type municipalities; 21%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Milford permitted 35 single family and 0 multi-family housing units annually. By comparison, Milford faces an annual projected demand of 60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14%, 15%, and 11%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Milford,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Milford, 53%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45% of non-elderly, non-family households are cost burdened, respectively. As the number of elderly households increases, the number of cost-burdened elderly households is likely to increase. In Milford, cost burden among elderly family households and non-elderly, non-family households is 31%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Milford households at less than  50% AMI, 50 to 80% AMI, and above 80% AMI, face affordability gaps of 900, -570,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