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Mansfield</w:t>
      </w:r>
      <w:r>
        <w:rPr>
          <w:rFonts w:ascii="Goudy Old Style" w:hAnsi="Goudy Old Style"/>
          <w:b w:val="false"/>
          <w:bCs w:val="false"/>
          <w:color w:val="000000"/>
        </w:rPr>
        <w:t>. Housing MA. Web. 21 Jun 2026. &lt;www.housing.ma/mansfield/report}&gt;.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Mansfield is home to 23000 residents, an increase of 4.5 percent from 2000. In 2010, working-age adults between 20 and 65 made up 61 percent of the population and seniors over 65 made up 8.3 percent School-age children, between 5 and 19, make up 26 percent of current residents. Between 2005 and 2012, school enrollment decreased by 340,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the aging of the Baby Boomers will cause the senior population to increase by 3,600 people, or 190 percent, through 2030, as seen in Figure 1. The total population is projected to increase by 1,000, or 4.3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increased by 6.3 percent between 2000 and 2010, from 7900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2.76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Mansfield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 of Mansfield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are projected to increase by 1,600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23 percent to 46 percent of the total households in Mansfield;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960 through 2020, or 96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total households increased by 500, or 6.3 percent, between 2000 and 2010. At the same time, average household size decreased from 2.82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Mansfield. As this large generation ages, it will increase the number of householders over 60 by 140 percent statewide through 2030, and their share of all households will increase from 23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householders over 60 will  decrease from 23 percent of the population in 2010 to 46 percent in 2030, an increase of 140 percent. Meanwhile, householders under 60 will decrease by 900,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400 more units. Householders currently over the age of 55 will need 780 fewer units than they do today. After accounting for the units freed up by departing seniors and the units needed to maintain a healthy vacancy rate, this translates into net demand for 520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Mansfield, as well as its distribution by unit type, building age, size, and cost. We also look at housing permits in Mansfield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20% of housing units are in buildings built before 1939, compared to 20% statewide. Another 8.5% and 27% of Mansfield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Mansfield, 66% of units are in single family homes, compared to 76% statewide and 79% for Maturing Suburb-type municipalities; 12% of all units are in two- to four-family buildings; and 21.9%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Mansfield permitted 20 single family and 18 multi-family housing units annually. By comparison, Mansfield faces an annual projected demand of 52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6.6%, 7.6%, and 11%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Mansfield, 29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Mansfield,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49% of non-elderly, non-family households are cost burdened, respectively. As the number of elderly households increases, the number of cost-burdened elderly households is likely to increase. In Mansfield, cost burden among elderly family households and non-elderly, non-family households is 28%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Mansfield households at less than  50% AMI, 50 to 80% AMI, and above 80% AMI, face affordability gaps of 600, -880,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