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Heath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Heath</w:t>
      </w:r>
      <w:r>
        <w:rPr>
          <w:rFonts w:ascii="Goudy Old Style" w:hAnsi="Goudy Old Style"/>
          <w:b w:val="false"/>
          <w:bCs w:val="false"/>
          <w:color w:val="000000"/>
        </w:rPr>
        <w:t>. Housing MA. Web. 15 May 2026. &lt;www.housing.ma/heath/report}&gt;.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Heath,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Heath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Heath is home to 710 residents, a decrease of 11 percent from 2000. In 2010, working-age adults between 20 and 65 made up 61 percent of the population and seniors over 65 made up 20 percent School-age children, between 5 and 19, make up 17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the aging of the Baby Boomers will cause the senior population to increase by 120 people, or 86 percent, through 2030, as seen in Figure 1. The total population is projected to decrease by 270,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Heath,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Heath increased by 3.4 percent between 2000 and 2010, from 290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2.76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Heath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9.6% of Heath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Heath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Heath;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total households increased by 10, or 3.4 percent, between 2000 and 2010. At the same time, average household size decreased from 2.76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Heath.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Heath, as well as its distribution by unit type, building age, size, and cost. We also look at housing permits in Heath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36% of housing units are in buildings built before 1939, compared to 36% statewide. Another 4.5% and 33% of Heath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Heath, 60% of units are in single family homes, compared to 76% statewide and 88% for Rural Town-type municipalities; 1.5%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Heath permitted 1 single family and 0 multi-family housing units annually. By comparison, Heath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19%, 16%, and 11%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Heath,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Heath, 64% of renters are cost burdened, versus 47%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Heath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Heath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51% of elderly family households and 50% of non-elderly, non-family households are cost burdened, respectively. As the number of elderly households increases, the number of cost-burdened elderly households is likely to increase. In Heath, cost burden among elderly family households and non-elderly, non-family households is 51%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Heath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Heath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Heath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Heath households at less than  50% AMI, 50 to 80% AMI, and above 80% AMI, face affordability gaps of 29, -46, and 13,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