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Barnstable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Barnstable</w:t>
      </w:r>
      <w:r>
        <w:rPr>
          <w:rFonts w:ascii="Goudy Old Style" w:hAnsi="Goudy Old Style"/>
          <w:b w:val="false"/>
          <w:bCs w:val="false"/>
          <w:color w:val="000000"/>
        </w:rPr>
        <w:t>. Housing MA. Web. 25 Jul 2026. &lt;www.housing.ma/barnstable/report}&gt;.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Barnstable,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Barnstable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Barnstable is home to 45000 residents, a decrease of 6.2 percent from 2000. In 2010, working-age adults between 20 and 65 made up 58 percent of the population and seniors over 65 made up 21 percent School-age children, between 5 and 19, make up 16 percent of current residents. Between 2005 and 2012, school enrollment increased by 210, or 4.5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the aging of the Baby Boomers will cause the senior population to increase by 5,500 people, or 58 percent, through 2030, as seen in Figure 1. The total population is projected to decrease by 2,000, or 4.4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Barnstable,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decreased by 5 percent between 2000 and 2010, from 20000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Barnstable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Barnstable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Barnstable are projected to decrease by 19,000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Barnstable;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total households decreased by 1,000, or 5 percent, between 2000 and 2010. At the same time, average household size decreased from 2.38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Barnstable.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Barnstable, as well as its distribution by unit type, building age, size, and cost. We also look at housing permits in Barnstable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8.8% of housing units are in buildings built before 1939, compared to 8.8% statewide. Another 12% and 37% of Barnstable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Barnstable, 85% of units are in single family homes, compared to 76% statewide and 79% for Maturing Suburb-type municipalities; 6.3% of all units are in two- to four-family buildings; and 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Barnstable permitted 29 single family and 0 multi-family housing units annually. By comparison, Barnstable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Barnstable, 14%, 12%, and 15%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Barnstable,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Barnstable, 56%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Barnstable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Barnstable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52% of non-elderly, non-family households are cost burdened, respectively. As the number of elderly households increases, the number of cost-burdened elderly households is likely to increase. In Barnstable, cost burden among elderly family households and non-elderly, non-family households is 29%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Barnstable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Barnstable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Barnstable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Barnstable households at less than  50% AMI, 50 to 80% AMI, and above 80% AMI, face affordability gaps of 2900, 670, and -3600,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