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Attleboro</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Attleboro</w:t>
      </w:r>
      <w:r>
        <w:rPr>
          <w:rFonts w:ascii="Goudy Old Style" w:hAnsi="Goudy Old Style"/>
          <w:b w:val="false"/>
          <w:bCs w:val="false"/>
          <w:color w:val="000000"/>
        </w:rPr>
        <w:t>. Housing MA. Web. 06 Aug 2026. &lt;www.housing.ma/attleboro/report}&gt;.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Attleboro,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Attleboro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Attleboro is home to 44000 residents, an increase of 4.8 percent from 2000. In 2010, working-age adults between 20 and 65 made up 61 percent of the population and seniors over 65 made up 13 percent School-age children, between 5 and 19, make up 18 percent of current residents. Between 2005 and 2012, school enrollment decreased by 290,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the aging of the Baby Boomers will cause the senior population to increase by 4,400 people, or 79 percent, through 2030, as seen in Figure 1. The total population is projected to increase by 4,000,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Attleboro,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2.55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Attleboro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9.8% of Attleboro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are projected to increase by 3,000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3,500, from 28 percent to 42 percent of the total households in Attleboro;</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total households increased by 1,000, or 6.2 percent, between 2000 and 2010. At the same time, average household size decreased from 2.57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Attleboro. As this large generation ages, it will increase the number of householders over 60 by 73 percent statewide through 2030, and their share of all households will increase from 28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householders over 60 will  decrease from 28 percent of the population in 2010 to 42 percent in 2030, an increase of 73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950 more units. Householders currently over the age of 55 will need 1,800 fewer units than they do today. After accounting for the units freed up by departing seniors and the units needed to maintain a healthy vacancy rate, this translates into net demand for 990 single family and 780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Attleboro, as well as its distribution by unit type, building age, size, and cost. We also look at housing permits in Attleboro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29% of housing units are in buildings built before 1939, compared to 29% statewide. Another 16% and 24% of Attleboro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Attleboro, 59% of units are in single family homes, compared to 76% statewide and 50% for Regional Urban Center-type municipalities; 21% of all units are in two- to four-family buildings; and 15.8%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Attleboro permitted 52 single family and 0 multi-family housing units annually. By comparison, Attleboro faces an annual projected demand of 99 single family units and 78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8.3%, 9.5%, and 17%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Attleboro,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Attleboro, 45%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Attleboro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Attleboro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36% of non-elderly, non-family households are cost burdened, respectively. As the number of elderly households increases, the number of cost-burdened elderly households is likely to increase. In Attleboro, cost burden among elderly family households and non-elderly, non-family households is 31%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Attleboro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Attleboro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Attleboro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Attleboro households at less than  50% AMI, 50 to 80% AMI, and above 80% AMI, face affordability gaps of 720, -870,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